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FB" w:rsidRPr="00A06CFB" w:rsidRDefault="00A06CFB" w:rsidP="00A06CFB">
      <w:pPr>
        <w:jc w:val="center"/>
        <w:outlineLvl w:val="0"/>
        <w:rPr>
          <w:rFonts w:ascii="Times New Roman" w:hAnsi="Times New Roman"/>
          <w:b/>
          <w:color w:val="0070C0"/>
          <w:spacing w:val="2"/>
          <w:sz w:val="44"/>
          <w:szCs w:val="44"/>
        </w:rPr>
      </w:pPr>
      <w:r w:rsidRPr="00A06CFB">
        <w:rPr>
          <w:rFonts w:ascii="Times New Roman" w:hAnsi="Times New Roman"/>
          <w:b/>
          <w:color w:val="0070C0"/>
          <w:spacing w:val="2"/>
          <w:sz w:val="44"/>
          <w:szCs w:val="44"/>
        </w:rPr>
        <w:t>Динамика планирования доходов  Каменского городского округа</w:t>
      </w:r>
    </w:p>
    <w:p w:rsidR="00A06CFB" w:rsidRPr="00890B01" w:rsidRDefault="00A06CFB" w:rsidP="00A06CFB">
      <w:pPr>
        <w:tabs>
          <w:tab w:val="left" w:pos="12560"/>
          <w:tab w:val="left" w:pos="14120"/>
          <w:tab w:val="right" w:pos="15840"/>
        </w:tabs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 xml:space="preserve">         </w:t>
      </w:r>
      <w:r>
        <w:rPr>
          <w:rFonts w:ascii="Times New Roman" w:hAnsi="Times New Roman"/>
          <w:spacing w:val="2"/>
        </w:rPr>
        <w:t xml:space="preserve">  (</w:t>
      </w:r>
      <w:r w:rsidRPr="00890B01">
        <w:rPr>
          <w:rFonts w:ascii="Times New Roman" w:hAnsi="Times New Roman"/>
          <w:spacing w:val="2"/>
        </w:rPr>
        <w:t xml:space="preserve"> тыс. </w:t>
      </w:r>
      <w:r>
        <w:rPr>
          <w:rFonts w:ascii="Times New Roman" w:hAnsi="Times New Roman"/>
          <w:spacing w:val="2"/>
        </w:rPr>
        <w:t>руб.</w:t>
      </w:r>
      <w:r w:rsidRPr="00890B01">
        <w:rPr>
          <w:rFonts w:ascii="Times New Roman" w:hAnsi="Times New Roman"/>
          <w:spacing w:val="2"/>
        </w:rPr>
        <w:t>)</w:t>
      </w: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268"/>
        <w:gridCol w:w="2126"/>
        <w:gridCol w:w="1701"/>
        <w:gridCol w:w="1843"/>
        <w:gridCol w:w="1843"/>
      </w:tblGrid>
      <w:tr w:rsidR="00A06CFB" w:rsidRPr="00497ECF" w:rsidTr="00A06CFB">
        <w:tc>
          <w:tcPr>
            <w:tcW w:w="4678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</w:rPr>
            </w:pPr>
            <w:r w:rsidRPr="00497ECF">
              <w:rPr>
                <w:rFonts w:ascii="Times New Roman" w:hAnsi="Times New Roman"/>
                <w:spacing w:val="2"/>
              </w:rPr>
              <w:t>Наименование дох</w:t>
            </w:r>
            <w:r w:rsidRPr="00497ECF">
              <w:rPr>
                <w:rFonts w:ascii="Times New Roman" w:hAnsi="Times New Roman"/>
                <w:spacing w:val="2"/>
              </w:rPr>
              <w:t>о</w:t>
            </w:r>
            <w:r w:rsidRPr="00497ECF">
              <w:rPr>
                <w:rFonts w:ascii="Times New Roman" w:hAnsi="Times New Roman"/>
                <w:spacing w:val="2"/>
              </w:rPr>
              <w:t>дов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Бюджет 2019</w:t>
            </w:r>
            <w:r w:rsidRPr="00497ECF">
              <w:rPr>
                <w:rFonts w:ascii="Times New Roman" w:hAnsi="Times New Roman"/>
                <w:spacing w:val="2"/>
              </w:rPr>
              <w:t xml:space="preserve"> год</w:t>
            </w:r>
            <w:r>
              <w:rPr>
                <w:rFonts w:ascii="Times New Roman" w:hAnsi="Times New Roman"/>
                <w:spacing w:val="2"/>
              </w:rPr>
              <w:t>а (исполн</w:t>
            </w:r>
            <w:r>
              <w:rPr>
                <w:rFonts w:ascii="Times New Roman" w:hAnsi="Times New Roman"/>
                <w:spacing w:val="2"/>
              </w:rPr>
              <w:t>е</w:t>
            </w:r>
            <w:r>
              <w:rPr>
                <w:rFonts w:ascii="Times New Roman" w:hAnsi="Times New Roman"/>
                <w:spacing w:val="2"/>
              </w:rPr>
              <w:t>ние)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Бюджет 2020</w:t>
            </w:r>
            <w:r w:rsidRPr="00497ECF">
              <w:rPr>
                <w:rFonts w:ascii="Times New Roman" w:hAnsi="Times New Roman"/>
                <w:spacing w:val="2"/>
              </w:rPr>
              <w:t xml:space="preserve"> г</w:t>
            </w:r>
            <w:r w:rsidRPr="00497ECF">
              <w:rPr>
                <w:rFonts w:ascii="Times New Roman" w:hAnsi="Times New Roman"/>
                <w:spacing w:val="2"/>
              </w:rPr>
              <w:t>о</w:t>
            </w:r>
            <w:r w:rsidRPr="00497ECF"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2"/>
              </w:rPr>
              <w:t>а (первоначал</w:t>
            </w:r>
            <w:r>
              <w:rPr>
                <w:rFonts w:ascii="Times New Roman" w:hAnsi="Times New Roman"/>
                <w:spacing w:val="2"/>
              </w:rPr>
              <w:t>ь</w:t>
            </w:r>
            <w:r>
              <w:rPr>
                <w:rFonts w:ascii="Times New Roman" w:hAnsi="Times New Roman"/>
                <w:spacing w:val="2"/>
              </w:rPr>
              <w:t>ный)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</w:rPr>
            </w:pPr>
            <w:r w:rsidRPr="00497ECF">
              <w:rPr>
                <w:rFonts w:ascii="Times New Roman" w:hAnsi="Times New Roman"/>
                <w:spacing w:val="2"/>
              </w:rPr>
              <w:t>Темпы р</w:t>
            </w:r>
            <w:r w:rsidRPr="00497ECF">
              <w:rPr>
                <w:rFonts w:ascii="Times New Roman" w:hAnsi="Times New Roman"/>
                <w:spacing w:val="2"/>
              </w:rPr>
              <w:t>о</w:t>
            </w:r>
            <w:r>
              <w:rPr>
                <w:rFonts w:ascii="Times New Roman" w:hAnsi="Times New Roman"/>
                <w:spacing w:val="2"/>
              </w:rPr>
              <w:t>ста (к 2019</w:t>
            </w:r>
            <w:r w:rsidRPr="00497ECF">
              <w:rPr>
                <w:rFonts w:ascii="Times New Roman" w:hAnsi="Times New Roman"/>
                <w:spacing w:val="2"/>
              </w:rPr>
              <w:t xml:space="preserve"> г</w:t>
            </w:r>
            <w:r w:rsidRPr="00497ECF">
              <w:rPr>
                <w:rFonts w:ascii="Times New Roman" w:hAnsi="Times New Roman"/>
                <w:spacing w:val="2"/>
              </w:rPr>
              <w:t>о</w:t>
            </w:r>
            <w:r w:rsidRPr="00497ECF">
              <w:rPr>
                <w:rFonts w:ascii="Times New Roman" w:hAnsi="Times New Roman"/>
                <w:spacing w:val="2"/>
              </w:rPr>
              <w:t>ду)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</w:rPr>
            </w:pPr>
            <w:r>
              <w:rPr>
                <w:rFonts w:ascii="Times New Roman" w:hAnsi="Times New Roman"/>
                <w:spacing w:val="2"/>
              </w:rPr>
              <w:t>Бюджет 2021</w:t>
            </w:r>
            <w:r w:rsidRPr="00497ECF">
              <w:rPr>
                <w:rFonts w:ascii="Times New Roman" w:hAnsi="Times New Roman"/>
                <w:spacing w:val="2"/>
              </w:rPr>
              <w:t xml:space="preserve"> г</w:t>
            </w:r>
            <w:r w:rsidRPr="00497ECF">
              <w:rPr>
                <w:rFonts w:ascii="Times New Roman" w:hAnsi="Times New Roman"/>
                <w:spacing w:val="2"/>
              </w:rPr>
              <w:t>о</w:t>
            </w:r>
            <w:r w:rsidRPr="00497ECF"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2"/>
              </w:rPr>
              <w:t>а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</w:rPr>
            </w:pPr>
            <w:r w:rsidRPr="00497ECF">
              <w:rPr>
                <w:rFonts w:ascii="Times New Roman" w:hAnsi="Times New Roman"/>
                <w:spacing w:val="2"/>
              </w:rPr>
              <w:t>Темпы  р</w:t>
            </w:r>
            <w:r w:rsidRPr="00497ECF">
              <w:rPr>
                <w:rFonts w:ascii="Times New Roman" w:hAnsi="Times New Roman"/>
                <w:spacing w:val="2"/>
              </w:rPr>
              <w:t>о</w:t>
            </w:r>
            <w:r>
              <w:rPr>
                <w:rFonts w:ascii="Times New Roman" w:hAnsi="Times New Roman"/>
                <w:spacing w:val="2"/>
              </w:rPr>
              <w:t>ста (к 2020</w:t>
            </w:r>
            <w:r w:rsidRPr="00497ECF">
              <w:rPr>
                <w:rFonts w:ascii="Times New Roman" w:hAnsi="Times New Roman"/>
                <w:spacing w:val="2"/>
              </w:rPr>
              <w:t xml:space="preserve"> г</w:t>
            </w:r>
            <w:r w:rsidRPr="00497ECF">
              <w:rPr>
                <w:rFonts w:ascii="Times New Roman" w:hAnsi="Times New Roman"/>
                <w:spacing w:val="2"/>
              </w:rPr>
              <w:t>о</w:t>
            </w:r>
            <w:r w:rsidRPr="00497ECF">
              <w:rPr>
                <w:rFonts w:ascii="Times New Roman" w:hAnsi="Times New Roman"/>
                <w:spacing w:val="2"/>
              </w:rPr>
              <w:t>ду)</w:t>
            </w:r>
          </w:p>
        </w:tc>
      </w:tr>
      <w:tr w:rsidR="00A06CFB" w:rsidRPr="00497ECF" w:rsidTr="00A06CFB">
        <w:trPr>
          <w:trHeight w:val="1054"/>
        </w:trPr>
        <w:tc>
          <w:tcPr>
            <w:tcW w:w="4678" w:type="dxa"/>
            <w:shd w:val="clear" w:color="auto" w:fill="DAEEF3" w:themeFill="accent5" w:themeFillTint="33"/>
          </w:tcPr>
          <w:p w:rsidR="00A06CFB" w:rsidRPr="00497ECF" w:rsidRDefault="00A06CFB" w:rsidP="002B1EAE">
            <w:pPr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497EC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Налоговые и   ненал</w:t>
            </w:r>
            <w:r w:rsidRPr="00497EC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497EC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говые         дох</w:t>
            </w:r>
            <w:r w:rsidRPr="00497EC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о</w:t>
            </w:r>
            <w:r w:rsidRPr="00497EC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ды,                                                  в том числе: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F024E0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381 821,4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448 758,0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117,5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508 826,9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1405A5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1405A5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113,4</w:t>
            </w:r>
          </w:p>
        </w:tc>
      </w:tr>
      <w:tr w:rsidR="00A06CFB" w:rsidRPr="00497ECF" w:rsidTr="00A06CFB">
        <w:tc>
          <w:tcPr>
            <w:tcW w:w="4678" w:type="dxa"/>
            <w:shd w:val="clear" w:color="auto" w:fill="DAEEF3" w:themeFill="accent5" w:themeFillTint="33"/>
          </w:tcPr>
          <w:p w:rsidR="00A06CFB" w:rsidRPr="00497ECF" w:rsidRDefault="00A06CFB" w:rsidP="002B1EAE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97ECF">
              <w:rPr>
                <w:rFonts w:ascii="Times New Roman" w:hAnsi="Times New Roman"/>
                <w:spacing w:val="2"/>
                <w:sz w:val="28"/>
                <w:szCs w:val="28"/>
              </w:rPr>
              <w:t>налоговые д</w:t>
            </w:r>
            <w:r w:rsidRPr="00497ECF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497ECF">
              <w:rPr>
                <w:rFonts w:ascii="Times New Roman" w:hAnsi="Times New Roman"/>
                <w:spacing w:val="2"/>
                <w:sz w:val="28"/>
                <w:szCs w:val="28"/>
              </w:rPr>
              <w:t>ходы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F024E0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324 674,0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333 564,0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102,7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348 139,4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1405A5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405A5">
              <w:rPr>
                <w:rFonts w:ascii="Times New Roman" w:hAnsi="Times New Roman"/>
                <w:spacing w:val="2"/>
                <w:sz w:val="28"/>
                <w:szCs w:val="28"/>
              </w:rPr>
              <w:t>104,4</w:t>
            </w:r>
          </w:p>
        </w:tc>
      </w:tr>
      <w:tr w:rsidR="00A06CFB" w:rsidRPr="00497ECF" w:rsidTr="00A06CFB">
        <w:tc>
          <w:tcPr>
            <w:tcW w:w="4678" w:type="dxa"/>
            <w:shd w:val="clear" w:color="auto" w:fill="DAEEF3" w:themeFill="accent5" w:themeFillTint="33"/>
          </w:tcPr>
          <w:p w:rsidR="00A06CFB" w:rsidRPr="00497ECF" w:rsidRDefault="00A06CFB" w:rsidP="002B1EAE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97ECF">
              <w:rPr>
                <w:rFonts w:ascii="Times New Roman" w:hAnsi="Times New Roman"/>
                <w:spacing w:val="2"/>
                <w:sz w:val="28"/>
                <w:szCs w:val="28"/>
              </w:rPr>
              <w:t>неналоговые доходы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57 147,4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115 194,0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201,6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160 687,5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1405A5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405A5">
              <w:rPr>
                <w:rFonts w:ascii="Times New Roman" w:hAnsi="Times New Roman"/>
                <w:spacing w:val="2"/>
                <w:sz w:val="28"/>
                <w:szCs w:val="28"/>
              </w:rPr>
              <w:t>139,5</w:t>
            </w:r>
          </w:p>
        </w:tc>
      </w:tr>
      <w:tr w:rsidR="00A06CFB" w:rsidRPr="00497ECF" w:rsidTr="00A06CFB">
        <w:tc>
          <w:tcPr>
            <w:tcW w:w="4678" w:type="dxa"/>
            <w:shd w:val="clear" w:color="auto" w:fill="DAEEF3" w:themeFill="accent5" w:themeFillTint="33"/>
          </w:tcPr>
          <w:p w:rsidR="00A06CFB" w:rsidRPr="00497ECF" w:rsidRDefault="00A06CFB" w:rsidP="002B1EAE">
            <w:pPr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497EC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Безвозмездные посту</w:t>
            </w:r>
            <w:r w:rsidRPr="00497EC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п</w:t>
            </w:r>
            <w:r w:rsidRPr="00497ECF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ления,         в том числе: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956 616,9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959 964,8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100,3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835 555,1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1405A5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28"/>
                <w:szCs w:val="28"/>
              </w:rPr>
            </w:pPr>
            <w:r w:rsidRPr="001405A5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>87,0</w:t>
            </w:r>
          </w:p>
        </w:tc>
      </w:tr>
      <w:tr w:rsidR="00A06CFB" w:rsidRPr="00497ECF" w:rsidTr="00A06CFB">
        <w:tc>
          <w:tcPr>
            <w:tcW w:w="4678" w:type="dxa"/>
            <w:shd w:val="clear" w:color="auto" w:fill="DAEEF3" w:themeFill="accent5" w:themeFillTint="33"/>
          </w:tcPr>
          <w:p w:rsidR="00A06CFB" w:rsidRPr="00497ECF" w:rsidRDefault="00A06CFB" w:rsidP="002B1EAE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97ECF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дотации 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197 000,0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500 391,0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254,0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363 781,0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1405A5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405A5">
              <w:rPr>
                <w:rFonts w:ascii="Times New Roman" w:hAnsi="Times New Roman"/>
                <w:spacing w:val="2"/>
                <w:sz w:val="28"/>
                <w:szCs w:val="28"/>
              </w:rPr>
              <w:t>72,7</w:t>
            </w:r>
          </w:p>
        </w:tc>
      </w:tr>
      <w:tr w:rsidR="00A06CFB" w:rsidRPr="00497ECF" w:rsidTr="00A06CFB">
        <w:tc>
          <w:tcPr>
            <w:tcW w:w="4678" w:type="dxa"/>
            <w:shd w:val="clear" w:color="auto" w:fill="DAEEF3" w:themeFill="accent5" w:themeFillTint="33"/>
          </w:tcPr>
          <w:p w:rsidR="00A06CFB" w:rsidRPr="00497ECF" w:rsidRDefault="00A06CFB" w:rsidP="002B1EAE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97ECF">
              <w:rPr>
                <w:rFonts w:ascii="Times New Roman" w:hAnsi="Times New Roman"/>
                <w:spacing w:val="2"/>
                <w:sz w:val="28"/>
                <w:szCs w:val="28"/>
              </w:rPr>
              <w:t>субсидии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318 927,6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35 365,5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11,1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21 695,5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1405A5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405A5">
              <w:rPr>
                <w:rFonts w:ascii="Times New Roman" w:hAnsi="Times New Roman"/>
                <w:spacing w:val="2"/>
                <w:sz w:val="28"/>
                <w:szCs w:val="28"/>
              </w:rPr>
              <w:t>61,3</w:t>
            </w:r>
          </w:p>
        </w:tc>
      </w:tr>
      <w:tr w:rsidR="00A06CFB" w:rsidRPr="00497ECF" w:rsidTr="00A06CFB">
        <w:tc>
          <w:tcPr>
            <w:tcW w:w="4678" w:type="dxa"/>
            <w:shd w:val="clear" w:color="auto" w:fill="DAEEF3" w:themeFill="accent5" w:themeFillTint="33"/>
          </w:tcPr>
          <w:p w:rsidR="00A06CFB" w:rsidRPr="00497ECF" w:rsidRDefault="00A06CFB" w:rsidP="002B1EAE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97ECF">
              <w:rPr>
                <w:rFonts w:ascii="Times New Roman" w:hAnsi="Times New Roman"/>
                <w:spacing w:val="2"/>
                <w:sz w:val="28"/>
                <w:szCs w:val="28"/>
              </w:rPr>
              <w:t>субвенции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399 387,3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424 208,3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106,2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434 201,6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6649CC" w:rsidRDefault="00A06CFB" w:rsidP="002B1EAE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2"/>
                <w:sz w:val="28"/>
                <w:szCs w:val="28"/>
              </w:rPr>
              <w:t>102,4</w:t>
            </w:r>
          </w:p>
        </w:tc>
      </w:tr>
      <w:tr w:rsidR="00A06CFB" w:rsidRPr="00497ECF" w:rsidTr="00A06CFB">
        <w:tc>
          <w:tcPr>
            <w:tcW w:w="4678" w:type="dxa"/>
            <w:shd w:val="clear" w:color="auto" w:fill="DAEEF3" w:themeFill="accent5" w:themeFillTint="33"/>
          </w:tcPr>
          <w:p w:rsidR="00A06CFB" w:rsidRPr="00497ECF" w:rsidRDefault="00A06CFB" w:rsidP="002B1EAE">
            <w:pPr>
              <w:jc w:val="both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 w:rsidRPr="00497ECF"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ВСЕГО Д</w:t>
            </w:r>
            <w:r w:rsidRPr="00497ECF"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О</w:t>
            </w:r>
            <w:r w:rsidRPr="00497ECF"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ХОДОВ: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1 338 438,3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1 408 722,8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105,3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497ECF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1 344 382,0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A06CFB" w:rsidRPr="006649CC" w:rsidRDefault="00A06CFB" w:rsidP="002B1EAE">
            <w:pPr>
              <w:jc w:val="center"/>
              <w:rPr>
                <w:rFonts w:ascii="Times New Roman" w:hAnsi="Times New Roman"/>
                <w:b/>
                <w:spacing w:val="2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pacing w:val="2"/>
                <w:sz w:val="32"/>
                <w:szCs w:val="32"/>
              </w:rPr>
              <w:t>95,4</w:t>
            </w:r>
          </w:p>
        </w:tc>
      </w:tr>
    </w:tbl>
    <w:p w:rsidR="00A06CFB" w:rsidRDefault="00A06CFB" w:rsidP="00A06CFB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A06CFB" w:rsidRPr="00275574" w:rsidRDefault="00A06CFB" w:rsidP="00A06CFB">
      <w:pPr>
        <w:jc w:val="center"/>
      </w:pPr>
      <w:r w:rsidRPr="00A06CFB">
        <w:rPr>
          <w:rFonts w:ascii="Times New Roman" w:hAnsi="Times New Roman"/>
          <w:b/>
          <w:color w:val="0000FF"/>
          <w:spacing w:val="2"/>
          <w:sz w:val="44"/>
          <w:szCs w:val="44"/>
        </w:rPr>
        <w:lastRenderedPageBreak/>
        <w:t>Поступление собственных доходов в местный бюджет  по        основным источникам в 2020-2021 г</w:t>
      </w:r>
      <w:r w:rsidRPr="00A06CFB">
        <w:rPr>
          <w:rFonts w:ascii="Times New Roman" w:hAnsi="Times New Roman"/>
          <w:b/>
          <w:color w:val="0000FF"/>
          <w:spacing w:val="2"/>
          <w:sz w:val="44"/>
          <w:szCs w:val="44"/>
        </w:rPr>
        <w:t>о</w:t>
      </w:r>
      <w:r w:rsidRPr="00A06CFB">
        <w:rPr>
          <w:rFonts w:ascii="Times New Roman" w:hAnsi="Times New Roman"/>
          <w:b/>
          <w:color w:val="0000FF"/>
          <w:spacing w:val="2"/>
          <w:sz w:val="44"/>
          <w:szCs w:val="44"/>
        </w:rPr>
        <w:t>дах (в тыс. рублей)</w:t>
      </w:r>
      <w:r>
        <w:rPr>
          <w:noProof/>
          <w:lang w:eastAsia="ru-RU"/>
        </w:rPr>
        <w:drawing>
          <wp:inline distT="0" distB="0" distL="0" distR="0" wp14:anchorId="20E23870" wp14:editId="219BF55C">
            <wp:extent cx="9956800" cy="56515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06CFB" w:rsidRPr="001F0964" w:rsidRDefault="00A06CFB" w:rsidP="00A06CFB">
      <w:pPr>
        <w:jc w:val="center"/>
        <w:outlineLvl w:val="0"/>
        <w:rPr>
          <w:rFonts w:ascii="Times New Roman" w:hAnsi="Times New Roman"/>
          <w:b/>
          <w:color w:val="auto"/>
          <w:spacing w:val="2"/>
          <w:sz w:val="52"/>
          <w:szCs w:val="52"/>
        </w:rPr>
      </w:pPr>
      <w:r w:rsidRPr="001F0964">
        <w:rPr>
          <w:rFonts w:ascii="Times New Roman" w:hAnsi="Times New Roman"/>
          <w:b/>
          <w:color w:val="auto"/>
          <w:spacing w:val="2"/>
          <w:sz w:val="52"/>
          <w:szCs w:val="52"/>
        </w:rPr>
        <w:t>Структура налоговых и неналоговых доходов на 202</w:t>
      </w:r>
      <w:r>
        <w:rPr>
          <w:rFonts w:ascii="Times New Roman" w:hAnsi="Times New Roman"/>
          <w:b/>
          <w:color w:val="auto"/>
          <w:spacing w:val="2"/>
          <w:sz w:val="52"/>
          <w:szCs w:val="52"/>
        </w:rPr>
        <w:t>1</w:t>
      </w:r>
      <w:r w:rsidRPr="001F0964">
        <w:rPr>
          <w:rFonts w:ascii="Times New Roman" w:hAnsi="Times New Roman"/>
          <w:b/>
          <w:color w:val="auto"/>
          <w:spacing w:val="2"/>
          <w:sz w:val="52"/>
          <w:szCs w:val="52"/>
        </w:rPr>
        <w:t xml:space="preserve"> г</w:t>
      </w:r>
      <w:bookmarkStart w:id="0" w:name="_GoBack"/>
      <w:bookmarkEnd w:id="0"/>
      <w:r w:rsidRPr="001F0964">
        <w:rPr>
          <w:rFonts w:ascii="Times New Roman" w:hAnsi="Times New Roman"/>
          <w:b/>
          <w:color w:val="auto"/>
          <w:spacing w:val="2"/>
          <w:sz w:val="52"/>
          <w:szCs w:val="52"/>
        </w:rPr>
        <w:t xml:space="preserve">од </w:t>
      </w:r>
    </w:p>
    <w:p w:rsidR="00F417A9" w:rsidRDefault="00A06CFB" w:rsidP="00A06CFB">
      <w:r>
        <w:rPr>
          <w:noProof/>
          <w:lang w:eastAsia="ru-RU"/>
        </w:rPr>
        <w:lastRenderedPageBreak/>
        <w:drawing>
          <wp:inline distT="0" distB="0" distL="0" distR="0" wp14:anchorId="772087A3" wp14:editId="3600616A">
            <wp:extent cx="9461500" cy="57277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417A9" w:rsidSect="00A06CF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F6"/>
    <w:rsid w:val="00000CBF"/>
    <w:rsid w:val="00001780"/>
    <w:rsid w:val="00001E5F"/>
    <w:rsid w:val="00005D7C"/>
    <w:rsid w:val="000064E6"/>
    <w:rsid w:val="0001174F"/>
    <w:rsid w:val="00027393"/>
    <w:rsid w:val="000343E9"/>
    <w:rsid w:val="00036DE4"/>
    <w:rsid w:val="00041E36"/>
    <w:rsid w:val="000443FF"/>
    <w:rsid w:val="00046128"/>
    <w:rsid w:val="000510C5"/>
    <w:rsid w:val="00053AC6"/>
    <w:rsid w:val="00064B1C"/>
    <w:rsid w:val="000853B5"/>
    <w:rsid w:val="000911CA"/>
    <w:rsid w:val="000A135F"/>
    <w:rsid w:val="000A7B37"/>
    <w:rsid w:val="000A7D68"/>
    <w:rsid w:val="000B2577"/>
    <w:rsid w:val="000C175F"/>
    <w:rsid w:val="000C61AA"/>
    <w:rsid w:val="000C7308"/>
    <w:rsid w:val="000D5E89"/>
    <w:rsid w:val="000D63D1"/>
    <w:rsid w:val="000D76D5"/>
    <w:rsid w:val="000E0DDA"/>
    <w:rsid w:val="000E5401"/>
    <w:rsid w:val="000F08D2"/>
    <w:rsid w:val="000F1266"/>
    <w:rsid w:val="000F15E8"/>
    <w:rsid w:val="000F67ED"/>
    <w:rsid w:val="000F683B"/>
    <w:rsid w:val="000F6EDA"/>
    <w:rsid w:val="001105C5"/>
    <w:rsid w:val="00112349"/>
    <w:rsid w:val="00117496"/>
    <w:rsid w:val="00121FEB"/>
    <w:rsid w:val="001256B5"/>
    <w:rsid w:val="00125FD6"/>
    <w:rsid w:val="00133E3E"/>
    <w:rsid w:val="00140C8D"/>
    <w:rsid w:val="00143120"/>
    <w:rsid w:val="001437F3"/>
    <w:rsid w:val="00175A5E"/>
    <w:rsid w:val="00175BD1"/>
    <w:rsid w:val="001834F2"/>
    <w:rsid w:val="0019232B"/>
    <w:rsid w:val="00194FDB"/>
    <w:rsid w:val="00196363"/>
    <w:rsid w:val="001A48B3"/>
    <w:rsid w:val="001C4253"/>
    <w:rsid w:val="001C7D30"/>
    <w:rsid w:val="001D4F89"/>
    <w:rsid w:val="001E7C22"/>
    <w:rsid w:val="001F0B4D"/>
    <w:rsid w:val="001F45BB"/>
    <w:rsid w:val="001F46FE"/>
    <w:rsid w:val="002044DC"/>
    <w:rsid w:val="00212214"/>
    <w:rsid w:val="002125EB"/>
    <w:rsid w:val="002216CF"/>
    <w:rsid w:val="00222A40"/>
    <w:rsid w:val="00222CFB"/>
    <w:rsid w:val="0022566A"/>
    <w:rsid w:val="002314B9"/>
    <w:rsid w:val="00231BFE"/>
    <w:rsid w:val="00241937"/>
    <w:rsid w:val="00242974"/>
    <w:rsid w:val="0025356C"/>
    <w:rsid w:val="0025356F"/>
    <w:rsid w:val="00255D7B"/>
    <w:rsid w:val="00256600"/>
    <w:rsid w:val="00261721"/>
    <w:rsid w:val="002723E5"/>
    <w:rsid w:val="002765D8"/>
    <w:rsid w:val="00276F4C"/>
    <w:rsid w:val="0028067B"/>
    <w:rsid w:val="0028246A"/>
    <w:rsid w:val="002844CB"/>
    <w:rsid w:val="0029046F"/>
    <w:rsid w:val="00290C50"/>
    <w:rsid w:val="00293779"/>
    <w:rsid w:val="00296361"/>
    <w:rsid w:val="002971EA"/>
    <w:rsid w:val="002A6993"/>
    <w:rsid w:val="002B1FD7"/>
    <w:rsid w:val="002B27A0"/>
    <w:rsid w:val="002B73F5"/>
    <w:rsid w:val="002C287C"/>
    <w:rsid w:val="002D0288"/>
    <w:rsid w:val="002E2204"/>
    <w:rsid w:val="002E4099"/>
    <w:rsid w:val="002F5987"/>
    <w:rsid w:val="002F68FE"/>
    <w:rsid w:val="00303AB7"/>
    <w:rsid w:val="003143D2"/>
    <w:rsid w:val="00315A2C"/>
    <w:rsid w:val="00325E80"/>
    <w:rsid w:val="003269EC"/>
    <w:rsid w:val="00331E76"/>
    <w:rsid w:val="00340802"/>
    <w:rsid w:val="00346A5A"/>
    <w:rsid w:val="00350CF2"/>
    <w:rsid w:val="0035186D"/>
    <w:rsid w:val="003555C9"/>
    <w:rsid w:val="00355896"/>
    <w:rsid w:val="00363094"/>
    <w:rsid w:val="003817EC"/>
    <w:rsid w:val="0038323E"/>
    <w:rsid w:val="003849FF"/>
    <w:rsid w:val="00390B20"/>
    <w:rsid w:val="003A47C0"/>
    <w:rsid w:val="003B0832"/>
    <w:rsid w:val="003C24FD"/>
    <w:rsid w:val="003D0667"/>
    <w:rsid w:val="003E336E"/>
    <w:rsid w:val="003E7859"/>
    <w:rsid w:val="003F2038"/>
    <w:rsid w:val="003F4FCC"/>
    <w:rsid w:val="003F7B60"/>
    <w:rsid w:val="00406013"/>
    <w:rsid w:val="00407856"/>
    <w:rsid w:val="00413300"/>
    <w:rsid w:val="00413528"/>
    <w:rsid w:val="00430B1F"/>
    <w:rsid w:val="004379CD"/>
    <w:rsid w:val="00441DEB"/>
    <w:rsid w:val="004422F5"/>
    <w:rsid w:val="004430BA"/>
    <w:rsid w:val="0044327B"/>
    <w:rsid w:val="00443A3F"/>
    <w:rsid w:val="0044415B"/>
    <w:rsid w:val="00444CFD"/>
    <w:rsid w:val="00444ECD"/>
    <w:rsid w:val="00445B1E"/>
    <w:rsid w:val="00445D67"/>
    <w:rsid w:val="00446A92"/>
    <w:rsid w:val="00456291"/>
    <w:rsid w:val="00467997"/>
    <w:rsid w:val="00470A95"/>
    <w:rsid w:val="004855D7"/>
    <w:rsid w:val="00485A4A"/>
    <w:rsid w:val="004A1E96"/>
    <w:rsid w:val="004B0791"/>
    <w:rsid w:val="004B116E"/>
    <w:rsid w:val="004B4391"/>
    <w:rsid w:val="004C6C06"/>
    <w:rsid w:val="004E48A5"/>
    <w:rsid w:val="004E7653"/>
    <w:rsid w:val="004F0181"/>
    <w:rsid w:val="004F02BC"/>
    <w:rsid w:val="004F23EA"/>
    <w:rsid w:val="004F5561"/>
    <w:rsid w:val="00513E69"/>
    <w:rsid w:val="00513E7D"/>
    <w:rsid w:val="00516687"/>
    <w:rsid w:val="00525012"/>
    <w:rsid w:val="00526CA1"/>
    <w:rsid w:val="005338DB"/>
    <w:rsid w:val="0053567A"/>
    <w:rsid w:val="00540045"/>
    <w:rsid w:val="00547B41"/>
    <w:rsid w:val="00550CC8"/>
    <w:rsid w:val="00552624"/>
    <w:rsid w:val="00553E8F"/>
    <w:rsid w:val="00557CAA"/>
    <w:rsid w:val="00564C5A"/>
    <w:rsid w:val="005656E8"/>
    <w:rsid w:val="005670A5"/>
    <w:rsid w:val="00567615"/>
    <w:rsid w:val="00572FF6"/>
    <w:rsid w:val="005753B7"/>
    <w:rsid w:val="00580AF9"/>
    <w:rsid w:val="005823E0"/>
    <w:rsid w:val="00596AAF"/>
    <w:rsid w:val="005974A9"/>
    <w:rsid w:val="005A4C0E"/>
    <w:rsid w:val="005B5947"/>
    <w:rsid w:val="005C6592"/>
    <w:rsid w:val="005C79AF"/>
    <w:rsid w:val="005D1A7E"/>
    <w:rsid w:val="005D6132"/>
    <w:rsid w:val="005E201E"/>
    <w:rsid w:val="005E7EDE"/>
    <w:rsid w:val="005F3031"/>
    <w:rsid w:val="005F5773"/>
    <w:rsid w:val="005F624E"/>
    <w:rsid w:val="005F6303"/>
    <w:rsid w:val="00606527"/>
    <w:rsid w:val="00607385"/>
    <w:rsid w:val="006103EA"/>
    <w:rsid w:val="00613199"/>
    <w:rsid w:val="00614B88"/>
    <w:rsid w:val="00626CEA"/>
    <w:rsid w:val="0063298F"/>
    <w:rsid w:val="00633FD7"/>
    <w:rsid w:val="00643E8D"/>
    <w:rsid w:val="00647767"/>
    <w:rsid w:val="00650F43"/>
    <w:rsid w:val="00667FB4"/>
    <w:rsid w:val="006873C6"/>
    <w:rsid w:val="0068783A"/>
    <w:rsid w:val="00691AB9"/>
    <w:rsid w:val="00693E64"/>
    <w:rsid w:val="00696084"/>
    <w:rsid w:val="006A3288"/>
    <w:rsid w:val="006A51CB"/>
    <w:rsid w:val="006A7BF1"/>
    <w:rsid w:val="006C0412"/>
    <w:rsid w:val="006C2ADC"/>
    <w:rsid w:val="006D143D"/>
    <w:rsid w:val="006D72C9"/>
    <w:rsid w:val="006E1F10"/>
    <w:rsid w:val="006E6900"/>
    <w:rsid w:val="006F063D"/>
    <w:rsid w:val="006F6795"/>
    <w:rsid w:val="006F7AAF"/>
    <w:rsid w:val="00703EF6"/>
    <w:rsid w:val="0070440E"/>
    <w:rsid w:val="00717F0D"/>
    <w:rsid w:val="00720C31"/>
    <w:rsid w:val="00722E4C"/>
    <w:rsid w:val="00723DC9"/>
    <w:rsid w:val="00745E2E"/>
    <w:rsid w:val="0075195C"/>
    <w:rsid w:val="0075221D"/>
    <w:rsid w:val="00754F33"/>
    <w:rsid w:val="00766239"/>
    <w:rsid w:val="00766C07"/>
    <w:rsid w:val="00770858"/>
    <w:rsid w:val="00770E69"/>
    <w:rsid w:val="00771EE2"/>
    <w:rsid w:val="007740DE"/>
    <w:rsid w:val="00774BFA"/>
    <w:rsid w:val="00784FE4"/>
    <w:rsid w:val="007905CE"/>
    <w:rsid w:val="00796D3F"/>
    <w:rsid w:val="00796E5C"/>
    <w:rsid w:val="007A1938"/>
    <w:rsid w:val="007A3084"/>
    <w:rsid w:val="007A30DB"/>
    <w:rsid w:val="007A47ED"/>
    <w:rsid w:val="007A7C46"/>
    <w:rsid w:val="007B03A6"/>
    <w:rsid w:val="007B1EB4"/>
    <w:rsid w:val="007B239A"/>
    <w:rsid w:val="007B3EF7"/>
    <w:rsid w:val="007B617D"/>
    <w:rsid w:val="007C4543"/>
    <w:rsid w:val="007C45EC"/>
    <w:rsid w:val="007D51AE"/>
    <w:rsid w:val="007D71D2"/>
    <w:rsid w:val="007E0492"/>
    <w:rsid w:val="007E0B54"/>
    <w:rsid w:val="007E3578"/>
    <w:rsid w:val="007E59F1"/>
    <w:rsid w:val="007E6A6B"/>
    <w:rsid w:val="007F108B"/>
    <w:rsid w:val="008005C0"/>
    <w:rsid w:val="00801283"/>
    <w:rsid w:val="008031C0"/>
    <w:rsid w:val="008035AB"/>
    <w:rsid w:val="0081244C"/>
    <w:rsid w:val="00813775"/>
    <w:rsid w:val="008146FD"/>
    <w:rsid w:val="0081496F"/>
    <w:rsid w:val="00814EA9"/>
    <w:rsid w:val="00820B50"/>
    <w:rsid w:val="0082642D"/>
    <w:rsid w:val="00826D4A"/>
    <w:rsid w:val="00834AFF"/>
    <w:rsid w:val="00836E5E"/>
    <w:rsid w:val="00842C03"/>
    <w:rsid w:val="00844B98"/>
    <w:rsid w:val="00846A94"/>
    <w:rsid w:val="00853C3C"/>
    <w:rsid w:val="0086375E"/>
    <w:rsid w:val="00864BF5"/>
    <w:rsid w:val="008738EA"/>
    <w:rsid w:val="00880F8B"/>
    <w:rsid w:val="0088146F"/>
    <w:rsid w:val="00882D54"/>
    <w:rsid w:val="00883125"/>
    <w:rsid w:val="00894E6A"/>
    <w:rsid w:val="008B3DB5"/>
    <w:rsid w:val="008B48D7"/>
    <w:rsid w:val="008B5E47"/>
    <w:rsid w:val="008C0145"/>
    <w:rsid w:val="008C23AA"/>
    <w:rsid w:val="008C7ACF"/>
    <w:rsid w:val="008D3CB6"/>
    <w:rsid w:val="008E6A81"/>
    <w:rsid w:val="009058F8"/>
    <w:rsid w:val="00912144"/>
    <w:rsid w:val="00922774"/>
    <w:rsid w:val="00925614"/>
    <w:rsid w:val="00930254"/>
    <w:rsid w:val="00930C50"/>
    <w:rsid w:val="009372D6"/>
    <w:rsid w:val="00937D1D"/>
    <w:rsid w:val="009441B4"/>
    <w:rsid w:val="00946655"/>
    <w:rsid w:val="00946DC1"/>
    <w:rsid w:val="0095242C"/>
    <w:rsid w:val="009549CB"/>
    <w:rsid w:val="0096010D"/>
    <w:rsid w:val="009626CC"/>
    <w:rsid w:val="00963813"/>
    <w:rsid w:val="00977A4E"/>
    <w:rsid w:val="00997BA0"/>
    <w:rsid w:val="009A01D4"/>
    <w:rsid w:val="009A1455"/>
    <w:rsid w:val="009A7B99"/>
    <w:rsid w:val="009B0448"/>
    <w:rsid w:val="009B10AF"/>
    <w:rsid w:val="009B56B8"/>
    <w:rsid w:val="009C3315"/>
    <w:rsid w:val="009C606A"/>
    <w:rsid w:val="009C676D"/>
    <w:rsid w:val="009C78A1"/>
    <w:rsid w:val="009D01FD"/>
    <w:rsid w:val="009D3E0C"/>
    <w:rsid w:val="009D547B"/>
    <w:rsid w:val="009D5BC4"/>
    <w:rsid w:val="009D7517"/>
    <w:rsid w:val="009F2083"/>
    <w:rsid w:val="009F26F2"/>
    <w:rsid w:val="009F3303"/>
    <w:rsid w:val="00A03166"/>
    <w:rsid w:val="00A06CFB"/>
    <w:rsid w:val="00A13FDE"/>
    <w:rsid w:val="00A20AE2"/>
    <w:rsid w:val="00A45006"/>
    <w:rsid w:val="00A4752D"/>
    <w:rsid w:val="00A52FBF"/>
    <w:rsid w:val="00A532A8"/>
    <w:rsid w:val="00A53AC6"/>
    <w:rsid w:val="00A53C7C"/>
    <w:rsid w:val="00A5583E"/>
    <w:rsid w:val="00A63DE6"/>
    <w:rsid w:val="00A73D4E"/>
    <w:rsid w:val="00A80A64"/>
    <w:rsid w:val="00A812F0"/>
    <w:rsid w:val="00A81C36"/>
    <w:rsid w:val="00A926A5"/>
    <w:rsid w:val="00A94A01"/>
    <w:rsid w:val="00A95000"/>
    <w:rsid w:val="00A956D6"/>
    <w:rsid w:val="00AA10DC"/>
    <w:rsid w:val="00AA263D"/>
    <w:rsid w:val="00AA2A31"/>
    <w:rsid w:val="00AA3088"/>
    <w:rsid w:val="00AA48E4"/>
    <w:rsid w:val="00AB2D13"/>
    <w:rsid w:val="00AB713F"/>
    <w:rsid w:val="00AC2FB0"/>
    <w:rsid w:val="00AC3F47"/>
    <w:rsid w:val="00AC4C36"/>
    <w:rsid w:val="00AD0A89"/>
    <w:rsid w:val="00AD1B17"/>
    <w:rsid w:val="00AE0089"/>
    <w:rsid w:val="00AE01E0"/>
    <w:rsid w:val="00AE43EA"/>
    <w:rsid w:val="00AE6833"/>
    <w:rsid w:val="00AE6D21"/>
    <w:rsid w:val="00AE7556"/>
    <w:rsid w:val="00AF488B"/>
    <w:rsid w:val="00B03090"/>
    <w:rsid w:val="00B059DD"/>
    <w:rsid w:val="00B102C1"/>
    <w:rsid w:val="00B179E8"/>
    <w:rsid w:val="00B17FCF"/>
    <w:rsid w:val="00B227F2"/>
    <w:rsid w:val="00B22F0F"/>
    <w:rsid w:val="00B25BA3"/>
    <w:rsid w:val="00B32C8A"/>
    <w:rsid w:val="00B35565"/>
    <w:rsid w:val="00B41815"/>
    <w:rsid w:val="00B41CF4"/>
    <w:rsid w:val="00B509C7"/>
    <w:rsid w:val="00B52D67"/>
    <w:rsid w:val="00B540B0"/>
    <w:rsid w:val="00B5531E"/>
    <w:rsid w:val="00B65759"/>
    <w:rsid w:val="00B71418"/>
    <w:rsid w:val="00B77C89"/>
    <w:rsid w:val="00B82E11"/>
    <w:rsid w:val="00B8370B"/>
    <w:rsid w:val="00B85D7F"/>
    <w:rsid w:val="00B911A2"/>
    <w:rsid w:val="00B91E31"/>
    <w:rsid w:val="00B94A90"/>
    <w:rsid w:val="00B96633"/>
    <w:rsid w:val="00BA0B1F"/>
    <w:rsid w:val="00BB5DD1"/>
    <w:rsid w:val="00BC0340"/>
    <w:rsid w:val="00BC0F85"/>
    <w:rsid w:val="00BC18EF"/>
    <w:rsid w:val="00BC54B3"/>
    <w:rsid w:val="00BD4D38"/>
    <w:rsid w:val="00BD57BA"/>
    <w:rsid w:val="00BD5E42"/>
    <w:rsid w:val="00BE764D"/>
    <w:rsid w:val="00C03B3D"/>
    <w:rsid w:val="00C110C5"/>
    <w:rsid w:val="00C11D58"/>
    <w:rsid w:val="00C129BB"/>
    <w:rsid w:val="00C1587C"/>
    <w:rsid w:val="00C173D1"/>
    <w:rsid w:val="00C25203"/>
    <w:rsid w:val="00C32E20"/>
    <w:rsid w:val="00C362F6"/>
    <w:rsid w:val="00C464F1"/>
    <w:rsid w:val="00C474B2"/>
    <w:rsid w:val="00C54434"/>
    <w:rsid w:val="00C577D8"/>
    <w:rsid w:val="00C633B0"/>
    <w:rsid w:val="00C72F8F"/>
    <w:rsid w:val="00C74E4A"/>
    <w:rsid w:val="00C822EF"/>
    <w:rsid w:val="00C8438A"/>
    <w:rsid w:val="00C84615"/>
    <w:rsid w:val="00CB0C3C"/>
    <w:rsid w:val="00CD5104"/>
    <w:rsid w:val="00CF3255"/>
    <w:rsid w:val="00CF7138"/>
    <w:rsid w:val="00D12920"/>
    <w:rsid w:val="00D148F8"/>
    <w:rsid w:val="00D17C81"/>
    <w:rsid w:val="00D24BF8"/>
    <w:rsid w:val="00D4405C"/>
    <w:rsid w:val="00D44821"/>
    <w:rsid w:val="00D5197F"/>
    <w:rsid w:val="00D566DF"/>
    <w:rsid w:val="00D642D1"/>
    <w:rsid w:val="00D70476"/>
    <w:rsid w:val="00D71C6C"/>
    <w:rsid w:val="00D727A6"/>
    <w:rsid w:val="00D81B3A"/>
    <w:rsid w:val="00DA4113"/>
    <w:rsid w:val="00DA5582"/>
    <w:rsid w:val="00DA5F9F"/>
    <w:rsid w:val="00DB064F"/>
    <w:rsid w:val="00DB2D16"/>
    <w:rsid w:val="00DB7485"/>
    <w:rsid w:val="00DC1EE8"/>
    <w:rsid w:val="00DC202F"/>
    <w:rsid w:val="00DD1F40"/>
    <w:rsid w:val="00DE10EB"/>
    <w:rsid w:val="00DE273B"/>
    <w:rsid w:val="00DE3032"/>
    <w:rsid w:val="00DE5A2C"/>
    <w:rsid w:val="00DF13F0"/>
    <w:rsid w:val="00DF18FA"/>
    <w:rsid w:val="00DF32E0"/>
    <w:rsid w:val="00DF7E2D"/>
    <w:rsid w:val="00E015B4"/>
    <w:rsid w:val="00E0248A"/>
    <w:rsid w:val="00E0496D"/>
    <w:rsid w:val="00E4034B"/>
    <w:rsid w:val="00E41789"/>
    <w:rsid w:val="00E417E5"/>
    <w:rsid w:val="00E43B41"/>
    <w:rsid w:val="00E4404C"/>
    <w:rsid w:val="00E44F3A"/>
    <w:rsid w:val="00E51FB4"/>
    <w:rsid w:val="00E523F8"/>
    <w:rsid w:val="00E5244B"/>
    <w:rsid w:val="00E54D04"/>
    <w:rsid w:val="00E5748C"/>
    <w:rsid w:val="00E64C43"/>
    <w:rsid w:val="00E76C2C"/>
    <w:rsid w:val="00E81C25"/>
    <w:rsid w:val="00E82927"/>
    <w:rsid w:val="00E8383B"/>
    <w:rsid w:val="00E85333"/>
    <w:rsid w:val="00E936F1"/>
    <w:rsid w:val="00E96550"/>
    <w:rsid w:val="00EA0A92"/>
    <w:rsid w:val="00EA311F"/>
    <w:rsid w:val="00EA5606"/>
    <w:rsid w:val="00EA6F44"/>
    <w:rsid w:val="00EA7CEE"/>
    <w:rsid w:val="00EB1277"/>
    <w:rsid w:val="00EB2018"/>
    <w:rsid w:val="00EB27A8"/>
    <w:rsid w:val="00EB7098"/>
    <w:rsid w:val="00EC455C"/>
    <w:rsid w:val="00ED2BCB"/>
    <w:rsid w:val="00EE1BBE"/>
    <w:rsid w:val="00F00E9A"/>
    <w:rsid w:val="00F00EB1"/>
    <w:rsid w:val="00F04C14"/>
    <w:rsid w:val="00F07A5C"/>
    <w:rsid w:val="00F14EDA"/>
    <w:rsid w:val="00F1579A"/>
    <w:rsid w:val="00F16B7C"/>
    <w:rsid w:val="00F16CD3"/>
    <w:rsid w:val="00F23556"/>
    <w:rsid w:val="00F414BA"/>
    <w:rsid w:val="00F417A9"/>
    <w:rsid w:val="00F44644"/>
    <w:rsid w:val="00F5224A"/>
    <w:rsid w:val="00F5229E"/>
    <w:rsid w:val="00F543D3"/>
    <w:rsid w:val="00F65D9E"/>
    <w:rsid w:val="00F71375"/>
    <w:rsid w:val="00F73412"/>
    <w:rsid w:val="00F74727"/>
    <w:rsid w:val="00F74FFB"/>
    <w:rsid w:val="00F83187"/>
    <w:rsid w:val="00F944C3"/>
    <w:rsid w:val="00FA6E16"/>
    <w:rsid w:val="00FB0FD1"/>
    <w:rsid w:val="00FB5449"/>
    <w:rsid w:val="00FB7E37"/>
    <w:rsid w:val="00FD16EF"/>
    <w:rsid w:val="00FD5339"/>
    <w:rsid w:val="00FE2E5A"/>
    <w:rsid w:val="00FE3289"/>
    <w:rsid w:val="00FF6A51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FB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FB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FB"/>
    <w:rPr>
      <w:rFonts w:ascii="Verdana" w:eastAsia="Calibri" w:hAnsi="Verdana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CFB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"/>
      <c:hPercent val="60"/>
      <c:rotY val="44"/>
      <c:depthPercent val="100"/>
      <c:rAngAx val="1"/>
    </c:view3D>
    <c:floor>
      <c:thickness val="0"/>
      <c:spPr>
        <a:solidFill>
          <a:srgbClr val="CCFFFF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308488612836433E-2"/>
          <c:y val="4.4444444444444446E-2"/>
          <c:w val="0.90269151138716353"/>
          <c:h val="0.446153846153846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Прогноз 2021г.</c:v>
                </c:pt>
              </c:strCache>
            </c:strRef>
          </c:tx>
          <c:spPr>
            <a:solidFill>
              <a:srgbClr val="0000FF"/>
            </a:solidFill>
            <a:ln w="126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Sheet1!$B$1:$O$1</c:f>
              <c:strCache>
                <c:ptCount val="14"/>
                <c:pt idx="0">
                  <c:v>НДФЛ</c:v>
                </c:pt>
                <c:pt idx="1">
                  <c:v>Акцизы</c:v>
                </c:pt>
                <c:pt idx="2">
                  <c:v>Упрощённая система налогообложения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Патентная система налогооблажения</c:v>
                </c:pt>
                <c:pt idx="6">
                  <c:v>Налог на имущество физ. лиц</c:v>
                </c:pt>
                <c:pt idx="7">
                  <c:v>Земельный налог</c:v>
                </c:pt>
                <c:pt idx="8">
                  <c:v>Доходы от использования имущества</c:v>
                </c:pt>
                <c:pt idx="9">
                  <c:v>Платежи при пользовании природными ресурсами</c:v>
                </c:pt>
                <c:pt idx="10">
                  <c:v>Доходы от оказания платных услуг</c:v>
                </c:pt>
                <c:pt idx="11">
                  <c:v>Доходы от продажи материальных и нематериальных активов</c:v>
                </c:pt>
                <c:pt idx="12">
                  <c:v>Штрафы</c:v>
                </c:pt>
                <c:pt idx="13">
                  <c:v>Прочие неналоговые доходы</c:v>
                </c:pt>
              </c:strCache>
            </c:strRef>
          </c:cat>
          <c:val>
            <c:numRef>
              <c:f>Sheet1!$B$2:$O$2</c:f>
              <c:numCache>
                <c:formatCode>General</c:formatCode>
                <c:ptCount val="14"/>
                <c:pt idx="0">
                  <c:v>228000</c:v>
                </c:pt>
                <c:pt idx="1">
                  <c:v>80657</c:v>
                </c:pt>
                <c:pt idx="2">
                  <c:v>6282.4</c:v>
                </c:pt>
                <c:pt idx="3">
                  <c:v>1000</c:v>
                </c:pt>
                <c:pt idx="4">
                  <c:v>600</c:v>
                </c:pt>
                <c:pt idx="5">
                  <c:v>1600</c:v>
                </c:pt>
                <c:pt idx="6">
                  <c:v>15000</c:v>
                </c:pt>
                <c:pt idx="7">
                  <c:v>15000</c:v>
                </c:pt>
                <c:pt idx="8">
                  <c:v>71214.3</c:v>
                </c:pt>
                <c:pt idx="9">
                  <c:v>8756</c:v>
                </c:pt>
                <c:pt idx="10">
                  <c:v>26307.5</c:v>
                </c:pt>
                <c:pt idx="11">
                  <c:v>53881.1</c:v>
                </c:pt>
                <c:pt idx="12">
                  <c:v>528.6</c:v>
                </c:pt>
                <c:pt idx="13">
                  <c:v>0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Прогноз 2020г.</c:v>
                </c:pt>
              </c:strCache>
            </c:strRef>
          </c:tx>
          <c:spPr>
            <a:solidFill>
              <a:srgbClr val="00FFFF"/>
            </a:solidFill>
            <a:ln w="126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Sheet1!$B$1:$O$1</c:f>
              <c:strCache>
                <c:ptCount val="14"/>
                <c:pt idx="0">
                  <c:v>НДФЛ</c:v>
                </c:pt>
                <c:pt idx="1">
                  <c:v>Акцизы</c:v>
                </c:pt>
                <c:pt idx="2">
                  <c:v>Упрощённая система налогообложения</c:v>
                </c:pt>
                <c:pt idx="3">
                  <c:v>ЕНВД</c:v>
                </c:pt>
                <c:pt idx="4">
                  <c:v>ЕСХН</c:v>
                </c:pt>
                <c:pt idx="5">
                  <c:v>Патентная система налогооблажения</c:v>
                </c:pt>
                <c:pt idx="6">
                  <c:v>Налог на имущество физ. лиц</c:v>
                </c:pt>
                <c:pt idx="7">
                  <c:v>Земельный налог</c:v>
                </c:pt>
                <c:pt idx="8">
                  <c:v>Доходы от использования имущества</c:v>
                </c:pt>
                <c:pt idx="9">
                  <c:v>Платежи при пользовании природными ресурсами</c:v>
                </c:pt>
                <c:pt idx="10">
                  <c:v>Доходы от оказания платных услуг</c:v>
                </c:pt>
                <c:pt idx="11">
                  <c:v>Доходы от продажи материальных и нематериальных активов</c:v>
                </c:pt>
                <c:pt idx="12">
                  <c:v>Штрафы</c:v>
                </c:pt>
                <c:pt idx="13">
                  <c:v>Прочие неналоговые доходы</c:v>
                </c:pt>
              </c:strCache>
            </c:strRef>
          </c:cat>
          <c:val>
            <c:numRef>
              <c:f>Sheet1!$B$3:$O$3</c:f>
              <c:numCache>
                <c:formatCode>General</c:formatCode>
                <c:ptCount val="14"/>
                <c:pt idx="0">
                  <c:v>212443</c:v>
                </c:pt>
                <c:pt idx="1">
                  <c:v>75898</c:v>
                </c:pt>
                <c:pt idx="2">
                  <c:v>6258</c:v>
                </c:pt>
                <c:pt idx="3">
                  <c:v>5000</c:v>
                </c:pt>
                <c:pt idx="4">
                  <c:v>707</c:v>
                </c:pt>
                <c:pt idx="5">
                  <c:v>1281</c:v>
                </c:pt>
                <c:pt idx="6">
                  <c:v>13052</c:v>
                </c:pt>
                <c:pt idx="7">
                  <c:v>18925</c:v>
                </c:pt>
                <c:pt idx="8">
                  <c:v>39731.9</c:v>
                </c:pt>
                <c:pt idx="9">
                  <c:v>6117</c:v>
                </c:pt>
                <c:pt idx="10">
                  <c:v>26151.3</c:v>
                </c:pt>
                <c:pt idx="11">
                  <c:v>42624.3</c:v>
                </c:pt>
                <c:pt idx="12">
                  <c:v>569.5</c:v>
                </c:pt>
                <c:pt idx="13">
                  <c:v>0</c:v>
                </c:pt>
              </c:numCache>
            </c:numRef>
          </c:val>
          <c:shape val="cylinder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0"/>
        <c:gapDepth val="50"/>
        <c:shape val="box"/>
        <c:axId val="62805888"/>
        <c:axId val="62807424"/>
        <c:axId val="0"/>
      </c:bar3DChart>
      <c:catAx>
        <c:axId val="62805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6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2807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807424"/>
        <c:scaling>
          <c:orientation val="minMax"/>
          <c:max val="200000"/>
        </c:scaling>
        <c:delete val="0"/>
        <c:axPos val="l"/>
        <c:majorGridlines>
          <c:spPr>
            <a:ln w="316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2805888"/>
        <c:crosses val="autoZero"/>
        <c:crossBetween val="between"/>
        <c:majorUnit val="20000"/>
        <c:minorUnit val="1000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CCFFCC" mc:Ignorable="a14" a14:legacySpreadsheetColorIndex="42"/>
            </a:gs>
            <a:gs pos="100000">
              <a:srgbClr xmlns:mc="http://schemas.openxmlformats.org/markup-compatibility/2006" xmlns:a14="http://schemas.microsoft.com/office/drawing/2010/main" val="020202" mc:Ignorable="a14" a14:legacySpreadsheetColorIndex="42">
                <a:gamma/>
                <a:shade val="78039"/>
                <a:invGamma/>
              </a:srgbClr>
            </a:gs>
          </a:gsLst>
          <a:lin ang="5400000" scaled="1"/>
        </a:gradFill>
        <a:ln w="25329">
          <a:noFill/>
        </a:ln>
      </c:spPr>
    </c:plotArea>
    <c:legend>
      <c:legendPos val="r"/>
      <c:layout>
        <c:manualLayout>
          <c:xMode val="edge"/>
          <c:yMode val="edge"/>
          <c:x val="0.80848861283643891"/>
          <c:y val="7.179487179487179E-2"/>
          <c:w val="0.16977225672877846"/>
          <c:h val="0.10085470085470086"/>
        </c:manualLayout>
      </c:layout>
      <c:overlay val="0"/>
      <c:spPr>
        <a:gradFill rotWithShape="0">
          <a:gsLst>
            <a:gs pos="0">
              <a:srgbClr xmlns:mc="http://schemas.openxmlformats.org/markup-compatibility/2006" xmlns:a14="http://schemas.microsoft.com/office/drawing/2010/main" val="CCFFCC" mc:Ignorable="a14" a14:legacySpreadsheetColorIndex="42"/>
            </a:gs>
            <a:gs pos="100000">
              <a:srgbClr xmlns:mc="http://schemas.openxmlformats.org/markup-compatibility/2006" xmlns:a14="http://schemas.microsoft.com/office/drawing/2010/main" val="020202" mc:Ignorable="a14" a14:legacySpreadsheetColorIndex="42">
                <a:gamma/>
                <a:shade val="75686"/>
                <a:invGamma/>
              </a:srgbClr>
            </a:gs>
          </a:gsLst>
          <a:lin ang="5400000" scaled="1"/>
        </a:gradFill>
        <a:ln w="25329">
          <a:noFill/>
        </a:ln>
      </c:spPr>
      <c:txPr>
        <a:bodyPr/>
        <a:lstStyle/>
        <a:p>
          <a:pPr>
            <a:defRPr sz="135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CCFFCC" mc:Ignorable="a14" a14:legacySpreadsheetColorIndex="42"/>
        </a:gs>
        <a:gs pos="100000">
          <a:srgbClr xmlns:mc="http://schemas.openxmlformats.org/markup-compatibility/2006" xmlns:a14="http://schemas.microsoft.com/office/drawing/2010/main" val="020202" mc:Ignorable="a14" a14:legacySpreadsheetColorIndex="42">
            <a:gamma/>
            <a:shade val="80392"/>
            <a:invGamma/>
          </a:srgbClr>
        </a:gs>
      </a:gsLst>
      <a:lin ang="5400000" scaled="1"/>
    </a:gradFill>
    <a:ln>
      <a:noFill/>
    </a:ln>
  </c:spPr>
  <c:txPr>
    <a:bodyPr/>
    <a:lstStyle/>
    <a:p>
      <a:pPr>
        <a:defRPr sz="1471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04761904761904"/>
          <c:y val="3.2094594594594593E-2"/>
          <c:w val="0.5662525879917184"/>
          <c:h val="0.9239864864864865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5">
              <a:solidFill>
                <a:srgbClr val="000000"/>
              </a:solidFill>
              <a:prstDash val="solid"/>
            </a:ln>
          </c:spPr>
          <c:explosion val="1"/>
          <c:dPt>
            <c:idx val="0"/>
            <c:bubble3D val="0"/>
          </c:dPt>
          <c:dPt>
            <c:idx val="1"/>
            <c:bubble3D val="0"/>
            <c:spPr>
              <a:solidFill>
                <a:srgbClr val="800080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66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23126028935615611"/>
                  <c:y val="-3.01310086733555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8758095929575778E-2"/>
                  <c:y val="0.3395270270270270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8603258689541546"/>
                  <c:y val="0.2296704021094264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11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Sheet1!$B$1:$J$1</c:f>
              <c:strCache>
                <c:ptCount val="9"/>
                <c:pt idx="0">
                  <c:v>НДФЛ</c:v>
                </c:pt>
                <c:pt idx="1">
                  <c:v>Акцизы</c:v>
                </c:pt>
                <c:pt idx="2">
                  <c:v>Налоги на совокупный доход</c:v>
                </c:pt>
                <c:pt idx="3">
                  <c:v>Налоги на имущество</c:v>
                </c:pt>
                <c:pt idx="4">
                  <c:v>Доходы от использования мун.имущества</c:v>
                </c:pt>
                <c:pt idx="5">
                  <c:v>Платежи при пользовании природными ресурсами</c:v>
                </c:pt>
                <c:pt idx="6">
                  <c:v>Доходы от оказания платных услуг</c:v>
                </c:pt>
                <c:pt idx="7">
                  <c:v>Доходы от продажи материальных и нематериальных активов</c:v>
                </c:pt>
                <c:pt idx="8">
                  <c:v>Штрафы</c:v>
                </c:pt>
              </c:strCache>
            </c:strRef>
          </c:cat>
          <c:val>
            <c:numRef>
              <c:f>Sheet1!$B$2:$J$2</c:f>
              <c:numCache>
                <c:formatCode>0.0%</c:formatCode>
                <c:ptCount val="9"/>
                <c:pt idx="0">
                  <c:v>0.44800000000000001</c:v>
                </c:pt>
                <c:pt idx="1">
                  <c:v>0.158</c:v>
                </c:pt>
                <c:pt idx="2">
                  <c:v>1.9E-2</c:v>
                </c:pt>
                <c:pt idx="3">
                  <c:v>5.8999999999999997E-2</c:v>
                </c:pt>
                <c:pt idx="4">
                  <c:v>0.14000000000000001</c:v>
                </c:pt>
                <c:pt idx="5">
                  <c:v>1.7000000000000001E-2</c:v>
                </c:pt>
                <c:pt idx="6">
                  <c:v>5.1999999999999998E-2</c:v>
                </c:pt>
                <c:pt idx="7">
                  <c:v>0.106</c:v>
                </c:pt>
                <c:pt idx="8">
                  <c:v>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87"/>
      </c:pieChart>
      <c:spPr>
        <a:noFill/>
        <a:ln w="2533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75569358178053825"/>
          <c:y val="0.10135135135135136"/>
          <c:w val="0.2443064182194617"/>
          <c:h val="0.80405405405405406"/>
        </c:manualLayout>
      </c:layout>
      <c:overlay val="0"/>
      <c:spPr>
        <a:noFill/>
        <a:ln w="25330">
          <a:noFill/>
        </a:ln>
      </c:spPr>
      <c:txPr>
        <a:bodyPr/>
        <a:lstStyle/>
        <a:p>
          <a:pPr>
            <a:defRPr sz="1097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25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2021-09-21T12:04:00Z</dcterms:created>
  <dcterms:modified xsi:type="dcterms:W3CDTF">2021-09-21T12:08:00Z</dcterms:modified>
</cp:coreProperties>
</file>